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theme/theme1.xml" ContentType="application/vnd.openxmlformats-officedocument.theme+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ntTable.xml" ContentType="application/vnd.openxmlformats-officedocument.wordprocessingml.fontTabl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5000" w:type="pct"/>
        <w:jc w:val="left"/>
        <w:tblInd w:w="-5" w:type="dxa"/>
        <w:tblLayout w:type="fixed"/>
        <w:tblCellMar>
          <w:top w:w="55" w:type="dxa"/>
          <w:left w:w="55" w:type="dxa"/>
          <w:bottom w:w="55" w:type="dxa"/>
          <w:right w:w="55" w:type="dxa"/>
        </w:tblCellMar>
      </w:tblPr>
      <w:tblGrid>
        <w:gridCol w:w="2251"/>
        <w:gridCol w:w="7025"/>
      </w:tblGrid>
      <w:tr>
        <w:trPr/>
        <w:tc>
          <w:tcPr>
            <w:tcW w:w="2251" w:type="dxa"/>
            <w:tcBorders>
              <w:top w:val="single" w:sz="4" w:space="0" w:color="000000"/>
              <w:left w:val="single" w:sz="4" w:space="0" w:color="000000"/>
              <w:bottom w:val="single" w:sz="4" w:space="0" w:color="000000"/>
            </w:tcBorders>
          </w:tcPr>
          <w:p>
            <w:pPr>
              <w:pStyle w:val="TableContents"/>
              <w:widowControl w:val="false"/>
              <w:suppressLineNumbers/>
              <w:spacing w:before="57" w:after="57"/>
              <w:rPr/>
            </w:pPr>
            <w:r>
              <w:rPr/>
              <w:drawing>
                <wp:inline distT="0" distB="0" distL="0" distR="0">
                  <wp:extent cx="1348105" cy="942975"/>
                  <wp:effectExtent l="0" t="0" r="0" b="0"/>
                  <wp:docPr id="1"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
                          <pic:cNvPicPr>
                            <a:picLocks noChangeAspect="1" noChangeArrowheads="1"/>
                          </pic:cNvPicPr>
                        </pic:nvPicPr>
                        <pic:blipFill>
                          <a:blip r:embed="rId2"/>
                          <a:stretch>
                            <a:fillRect/>
                          </a:stretch>
                        </pic:blipFill>
                        <pic:spPr bwMode="auto">
                          <a:xfrm>
                            <a:off x="0" y="0"/>
                            <a:ext cx="1348105" cy="942975"/>
                          </a:xfrm>
                          <a:prstGeom prst="rect">
                            <a:avLst/>
                          </a:prstGeom>
                        </pic:spPr>
                      </pic:pic>
                    </a:graphicData>
                  </a:graphic>
                </wp:inline>
              </w:drawing>
            </w:r>
          </w:p>
        </w:tc>
        <w:tc>
          <w:tcPr>
            <w:tcW w:w="7025" w:type="dxa"/>
            <w:tcBorders>
              <w:top w:val="single" w:sz="4" w:space="0" w:color="000000"/>
              <w:left w:val="single" w:sz="4" w:space="0" w:color="000000"/>
              <w:bottom w:val="single" w:sz="4" w:space="0" w:color="000000"/>
              <w:right w:val="single" w:sz="4" w:space="0" w:color="000000"/>
            </w:tcBorders>
            <w:vAlign w:val="center"/>
          </w:tcPr>
          <w:p>
            <w:pPr>
              <w:pStyle w:val="Heading2"/>
              <w:numPr>
                <w:ilvl w:val="0"/>
                <w:numId w:val="0"/>
              </w:numPr>
              <w:spacing w:before="200" w:after="120"/>
              <w:ind w:hanging="0" w:left="0"/>
              <w:jc w:val="center"/>
              <w:rPr/>
            </w:pPr>
            <w:r>
              <w:rPr/>
              <w:t>DATA PRIVACY STATEMENT</w:t>
            </w:r>
          </w:p>
          <w:p>
            <w:pPr>
              <w:pStyle w:val="BodyText"/>
              <w:spacing w:before="0" w:after="113"/>
              <w:jc w:val="center"/>
              <w:rPr>
                <w:rFonts w:ascii="Calibri" w:hAnsi="Calibri" w:cs="Calibri" w:asciiTheme="minorHAnsi" w:cstheme="minorHAnsi" w:hAnsiTheme="minorHAnsi"/>
                <w:b/>
                <w:sz w:val="28"/>
                <w:szCs w:val="24"/>
              </w:rPr>
            </w:pPr>
            <w:r>
              <w:rPr>
                <w:rFonts w:cs="Calibri" w:ascii="Calibri" w:hAnsi="Calibri" w:asciiTheme="minorHAnsi" w:cstheme="minorHAnsi" w:hAnsiTheme="minorHAnsi"/>
                <w:b/>
                <w:sz w:val="28"/>
                <w:szCs w:val="24"/>
                <w:highlight w:val="yellow"/>
              </w:rPr>
              <w:t>XYZ</w:t>
            </w:r>
            <w:r>
              <w:rPr>
                <w:rFonts w:cs="Calibri" w:ascii="Calibri" w:hAnsi="Calibri" w:asciiTheme="minorHAnsi" w:cstheme="minorHAnsi" w:hAnsiTheme="minorHAnsi"/>
                <w:b/>
                <w:sz w:val="28"/>
                <w:szCs w:val="24"/>
              </w:rPr>
              <w:t xml:space="preserve"> United Reformed Church, </w:t>
            </w:r>
            <w:r>
              <w:rPr>
                <w:rFonts w:cs="Calibri" w:ascii="Calibri" w:hAnsi="Calibri" w:asciiTheme="minorHAnsi" w:cstheme="minorHAnsi" w:hAnsiTheme="minorHAnsi"/>
                <w:b/>
                <w:sz w:val="28"/>
                <w:szCs w:val="24"/>
                <w:highlight w:val="yellow"/>
              </w:rPr>
              <w:t>Location</w:t>
            </w:r>
          </w:p>
        </w:tc>
      </w:tr>
    </w:tbl>
    <w:p>
      <w:pPr>
        <w:pStyle w:val="Heading5"/>
        <w:numPr>
          <w:ilvl w:val="0"/>
          <w:numId w:val="0"/>
        </w:numPr>
        <w:ind w:hanging="0" w:left="0"/>
        <w:rPr/>
      </w:pPr>
      <w:r>
        <w:rPr/>
        <w:t>1. Personal data</w:t>
      </w:r>
    </w:p>
    <w:p>
      <w:pPr>
        <w:pStyle w:val="BodyText"/>
        <w:rPr/>
      </w:pPr>
      <w:bookmarkStart w:id="0" w:name="_Hlk502850918"/>
      <w:r>
        <w:rPr/>
        <w:t xml:space="preserve">Personal data relates to a living individual who can be identified from that data.  Identification can be by the information alone or in conjunction with any other information in the data controller’s possession or likely to come into such possession. </w:t>
      </w:r>
      <w:bookmarkEnd w:id="0"/>
      <w:r>
        <w:rPr/>
        <w:t>The processing of personal data is governed by the General Data Protection Regulation (the ‘GDPR’).</w:t>
      </w:r>
    </w:p>
    <w:p>
      <w:pPr>
        <w:pStyle w:val="Heading5"/>
        <w:numPr>
          <w:ilvl w:val="0"/>
          <w:numId w:val="0"/>
        </w:numPr>
        <w:ind w:hanging="0" w:left="0"/>
        <w:rPr/>
      </w:pPr>
      <w:r>
        <w:rPr/>
        <w:t xml:space="preserve">2. Data Controller </w:t>
      </w:r>
    </w:p>
    <w:p>
      <w:pPr>
        <w:pStyle w:val="BodyText"/>
        <w:rPr/>
      </w:pPr>
      <w:r>
        <w:rPr/>
        <w:t>The eldership (serving elders) of XYZ United Reformed Church is the data controller (contact details below).  This means it decides how your personal data is processed and for what purposes.</w:t>
      </w:r>
    </w:p>
    <w:p>
      <w:pPr>
        <w:pStyle w:val="Heading5"/>
        <w:numPr>
          <w:ilvl w:val="0"/>
          <w:numId w:val="0"/>
        </w:numPr>
        <w:ind w:hanging="0" w:left="0"/>
        <w:rPr/>
      </w:pPr>
      <w:r>
        <w:rPr/>
        <w:t>3. How do we process your personal data?</w:t>
      </w:r>
    </w:p>
    <w:p>
      <w:pPr>
        <w:pStyle w:val="BodyText"/>
        <w:rPr/>
      </w:pPr>
      <w:r>
        <w:rPr/>
        <w:t>The eldership of XYZ United Reformed Church complies with its obligations under the “GDPR”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pPr>
        <w:pStyle w:val="BodyText"/>
        <w:rPr/>
      </w:pPr>
      <w:r>
        <w:rPr/>
        <w:t>We use personal data for the following purposes: -</w:t>
      </w:r>
    </w:p>
    <w:p>
      <w:pPr>
        <w:pStyle w:val="ListContents"/>
        <w:numPr>
          <w:ilvl w:val="0"/>
          <w:numId w:val="5"/>
        </w:numPr>
        <w:rPr>
          <w:lang w:val="en-US"/>
        </w:rPr>
      </w:pPr>
      <w:r>
        <w:rPr/>
        <w:t>to administer membership records;</w:t>
      </w:r>
    </w:p>
    <w:p>
      <w:pPr>
        <w:pStyle w:val="ListContents"/>
        <w:numPr>
          <w:ilvl w:val="0"/>
          <w:numId w:val="5"/>
        </w:numPr>
        <w:rPr>
          <w:lang w:val="en-US"/>
        </w:rPr>
      </w:pPr>
      <w:r>
        <w:rPr/>
        <w:t>to maintain our financial accounts and records (including the processing of gift aid);</w:t>
      </w:r>
    </w:p>
    <w:p>
      <w:pPr>
        <w:pStyle w:val="ListContents"/>
        <w:numPr>
          <w:ilvl w:val="0"/>
          <w:numId w:val="4"/>
        </w:numPr>
        <w:rPr/>
      </w:pPr>
      <w:r>
        <w:rPr/>
        <w:t>to provide news and information about events, activities and services at the church;</w:t>
      </w:r>
    </w:p>
    <w:p>
      <w:pPr>
        <w:pStyle w:val="ListContents"/>
        <w:numPr>
          <w:ilvl w:val="0"/>
          <w:numId w:val="5"/>
        </w:numPr>
        <w:rPr>
          <w:lang w:val="en-US"/>
        </w:rPr>
      </w:pPr>
      <w:r>
        <w:rPr/>
        <w:t xml:space="preserve">to fundraise and promote the interests of the church; </w:t>
      </w:r>
    </w:p>
    <w:p>
      <w:pPr>
        <w:pStyle w:val="ListContents"/>
        <w:numPr>
          <w:ilvl w:val="0"/>
          <w:numId w:val="5"/>
        </w:numPr>
        <w:rPr>
          <w:lang w:val="en-US"/>
        </w:rPr>
      </w:pPr>
      <w:r>
        <w:rPr/>
        <w:t xml:space="preserve">to manage [employees and] volunteers; </w:t>
      </w:r>
    </w:p>
    <w:p>
      <w:pPr>
        <w:pStyle w:val="ListContents"/>
        <w:numPr>
          <w:ilvl w:val="0"/>
          <w:numId w:val="5"/>
        </w:numPr>
        <w:rPr>
          <w:lang w:val="en-US"/>
        </w:rPr>
      </w:pPr>
      <w:r>
        <w:rPr/>
        <w:t>to enable the church to provide voluntary services for the benefit of the public in our local community;</w:t>
      </w:r>
    </w:p>
    <w:p>
      <w:pPr>
        <w:pStyle w:val="ListContents"/>
        <w:numPr>
          <w:ilvl w:val="0"/>
          <w:numId w:val="5"/>
        </w:numPr>
        <w:rPr>
          <w:lang w:val="en-US"/>
        </w:rPr>
      </w:pPr>
      <w:r>
        <w:rPr/>
        <w:t>to provide contact details of officers and others with specific responsibilities (eg DBS signatories) to the synod office and Church House.  This enables the synod and national administration of the United Reformed Church.</w:t>
      </w:r>
    </w:p>
    <w:p>
      <w:pPr>
        <w:pStyle w:val="Heading5"/>
        <w:numPr>
          <w:ilvl w:val="0"/>
          <w:numId w:val="0"/>
        </w:numPr>
        <w:ind w:hanging="0" w:left="0"/>
        <w:rPr/>
      </w:pPr>
      <w:r>
        <w:rPr/>
        <w:t>4. What is the legal basis for processing your personal data?</w:t>
      </w:r>
    </w:p>
    <w:p>
      <w:pPr>
        <w:pStyle w:val="ListContents"/>
        <w:numPr>
          <w:ilvl w:val="0"/>
          <w:numId w:val="6"/>
        </w:numPr>
        <w:rPr/>
      </w:pPr>
      <w:r>
        <w:rPr/>
        <w:t>Processing is carried out by a not-for-profit body with a political, philosophical, religious or trade union aim provided: -</w:t>
      </w:r>
    </w:p>
    <w:p>
      <w:pPr>
        <w:pStyle w:val="ListContents"/>
        <w:numPr>
          <w:ilvl w:val="1"/>
          <w:numId w:val="3"/>
        </w:numPr>
        <w:rPr/>
      </w:pPr>
      <w:r>
        <w:rPr/>
        <w:t xml:space="preserve">the processing relates only to members or former members (or those who have regular contact with it in connection with those purposes); and </w:t>
      </w:r>
    </w:p>
    <w:p>
      <w:pPr>
        <w:pStyle w:val="ListContents"/>
        <w:numPr>
          <w:ilvl w:val="1"/>
          <w:numId w:val="3"/>
        </w:numPr>
        <w:rPr/>
      </w:pPr>
      <w:r>
        <w:rPr/>
        <w:t>there is no disclosure to a third party without consent; or</w:t>
      </w:r>
    </w:p>
    <w:p>
      <w:pPr>
        <w:pStyle w:val="ListContents"/>
        <w:numPr>
          <w:ilvl w:val="0"/>
          <w:numId w:val="6"/>
        </w:numPr>
        <w:rPr/>
      </w:pPr>
      <w:r>
        <w:rPr/>
        <w:t>Processing is necessary for carrying out obligations under employment, social security or social protection law, or a collective agreement; or</w:t>
      </w:r>
    </w:p>
    <w:p>
      <w:pPr>
        <w:pStyle w:val="ListContents"/>
        <w:numPr>
          <w:ilvl w:val="0"/>
          <w:numId w:val="6"/>
        </w:numPr>
        <w:rPr/>
      </w:pPr>
      <w:r>
        <w:rPr/>
        <w:t xml:space="preserve">Explicit consent of the data subject has been given. </w:t>
      </w:r>
    </w:p>
    <w:p>
      <w:pPr>
        <w:pStyle w:val="Heading5"/>
        <w:numPr>
          <w:ilvl w:val="0"/>
          <w:numId w:val="0"/>
        </w:numPr>
        <w:ind w:hanging="0" w:left="0"/>
        <w:rPr/>
      </w:pPr>
      <w:r>
        <w:rPr/>
        <w:t>5. Sharing personal data</w:t>
      </w:r>
    </w:p>
    <w:p>
      <w:pPr>
        <w:pStyle w:val="BodyText"/>
        <w:rPr/>
      </w:pPr>
      <w:r>
        <w:rPr/>
        <w:t>Your personal data will be treated as strictly confidential and will only be shared with other members of the church in order to carry out a service to other church members or for purposes connected with the church. We will only share your data with third parties with your consent.</w:t>
      </w:r>
    </w:p>
    <w:p>
      <w:pPr>
        <w:pStyle w:val="Heading5"/>
        <w:numPr>
          <w:ilvl w:val="0"/>
          <w:numId w:val="0"/>
        </w:numPr>
        <w:ind w:hanging="0" w:left="0"/>
        <w:rPr/>
      </w:pPr>
      <w:r>
        <w:rPr/>
        <w:t>6. How long do we keep data?</w:t>
      </w:r>
    </w:p>
    <w:p>
      <w:pPr>
        <w:pStyle w:val="BodyText"/>
        <w:rPr/>
      </w:pPr>
      <w:r>
        <w:rPr/>
        <w:t>We retain data on the following basis:</w:t>
      </w:r>
    </w:p>
    <w:tbl>
      <w:tblPr>
        <w:tblStyle w:val="TableGrid"/>
        <w:tblW w:w="5000" w:type="pct"/>
        <w:jc w:val="left"/>
        <w:tblInd w:w="108" w:type="dxa"/>
        <w:tblLayout w:type="fixed"/>
        <w:tblCellMar>
          <w:top w:w="0" w:type="dxa"/>
          <w:left w:w="108" w:type="dxa"/>
          <w:bottom w:w="0" w:type="dxa"/>
          <w:right w:w="108" w:type="dxa"/>
        </w:tblCellMar>
        <w:tblLook w:val="04a0" w:noHBand="0" w:noVBand="1" w:firstColumn="1" w:lastRow="0" w:lastColumn="0" w:firstRow="1"/>
      </w:tblPr>
      <w:tblGrid>
        <w:gridCol w:w="3380"/>
        <w:gridCol w:w="5896"/>
      </w:tblGrid>
      <w:tr>
        <w:trPr>
          <w:tblHeader w:val="true"/>
        </w:trPr>
        <w:tc>
          <w:tcPr>
            <w:tcW w:w="3380" w:type="dxa"/>
            <w:tcBorders>
              <w:right w:val="nil"/>
            </w:tcBorders>
          </w:tcPr>
          <w:p>
            <w:pPr>
              <w:pStyle w:val="TableHeading"/>
              <w:suppressAutoHyphens w:val="true"/>
              <w:spacing w:before="57" w:after="57"/>
              <w:rPr/>
            </w:pPr>
            <w:r>
              <w:rPr/>
              <w:t>Record Type</w:t>
            </w:r>
          </w:p>
        </w:tc>
        <w:tc>
          <w:tcPr>
            <w:tcW w:w="5896" w:type="dxa"/>
            <w:tcBorders/>
          </w:tcPr>
          <w:p>
            <w:pPr>
              <w:pStyle w:val="TableHeading"/>
              <w:suppressAutoHyphens w:val="true"/>
              <w:spacing w:before="57" w:after="57"/>
              <w:rPr/>
            </w:pPr>
            <w:r>
              <w:rPr/>
              <w:t xml:space="preserve">Retention Period </w:t>
            </w:r>
            <w:r>
              <w:rPr>
                <w:rStyle w:val="FootnoteReference"/>
              </w:rPr>
              <w:footnoteReference w:id="2"/>
            </w:r>
          </w:p>
        </w:tc>
      </w:tr>
      <w:tr>
        <w:trPr/>
        <w:tc>
          <w:tcPr>
            <w:tcW w:w="3380" w:type="dxa"/>
            <w:tcBorders>
              <w:top w:val="nil"/>
              <w:right w:val="nil"/>
            </w:tcBorders>
          </w:tcPr>
          <w:p>
            <w:pPr>
              <w:pStyle w:val="TableContents"/>
              <w:suppressAutoHyphens w:val="true"/>
              <w:spacing w:before="57" w:after="57"/>
              <w:rPr/>
            </w:pPr>
            <w:r>
              <w:rPr/>
              <w:t>Membership rolls</w:t>
            </w:r>
          </w:p>
        </w:tc>
        <w:tc>
          <w:tcPr>
            <w:tcW w:w="5896" w:type="dxa"/>
            <w:tcBorders>
              <w:top w:val="nil"/>
            </w:tcBorders>
          </w:tcPr>
          <w:p>
            <w:pPr>
              <w:pStyle w:val="TableContents"/>
              <w:suppressAutoHyphens w:val="true"/>
              <w:spacing w:before="57" w:after="57"/>
              <w:rPr/>
            </w:pPr>
            <w:r>
              <w:rPr/>
              <w:t>Indefinitely</w:t>
            </w:r>
          </w:p>
        </w:tc>
      </w:tr>
      <w:tr>
        <w:trPr/>
        <w:tc>
          <w:tcPr>
            <w:tcW w:w="3380" w:type="dxa"/>
            <w:tcBorders>
              <w:top w:val="nil"/>
              <w:right w:val="nil"/>
            </w:tcBorders>
          </w:tcPr>
          <w:p>
            <w:pPr>
              <w:pStyle w:val="TableContents"/>
              <w:suppressAutoHyphens w:val="true"/>
              <w:spacing w:before="57" w:after="57"/>
              <w:rPr/>
            </w:pPr>
            <w:r>
              <w:rPr/>
              <w:t>Members, adherents and friends contact details</w:t>
            </w:r>
          </w:p>
        </w:tc>
        <w:tc>
          <w:tcPr>
            <w:tcW w:w="5896" w:type="dxa"/>
            <w:tcBorders>
              <w:top w:val="nil"/>
            </w:tcBorders>
          </w:tcPr>
          <w:p>
            <w:pPr>
              <w:pStyle w:val="TableContents"/>
              <w:suppressAutoHyphens w:val="true"/>
              <w:spacing w:before="57" w:after="57"/>
              <w:rPr/>
            </w:pPr>
            <w:r>
              <w:rPr/>
              <w:t>24 months after the last contact</w:t>
            </w:r>
          </w:p>
        </w:tc>
      </w:tr>
      <w:tr>
        <w:trPr/>
        <w:tc>
          <w:tcPr>
            <w:tcW w:w="3380" w:type="dxa"/>
            <w:tcBorders>
              <w:top w:val="nil"/>
              <w:right w:val="nil"/>
            </w:tcBorders>
          </w:tcPr>
          <w:p>
            <w:pPr>
              <w:pStyle w:val="TableContents"/>
              <w:suppressAutoHyphens w:val="true"/>
              <w:spacing w:before="57" w:after="57"/>
              <w:rPr/>
            </w:pPr>
            <w:r>
              <w:rPr/>
              <w:t>Junior Church roll</w:t>
            </w:r>
          </w:p>
        </w:tc>
        <w:tc>
          <w:tcPr>
            <w:tcW w:w="5896" w:type="dxa"/>
            <w:tcBorders>
              <w:top w:val="nil"/>
            </w:tcBorders>
          </w:tcPr>
          <w:p>
            <w:pPr>
              <w:pStyle w:val="TableContents"/>
              <w:suppressAutoHyphens w:val="true"/>
              <w:spacing w:before="57" w:after="57"/>
              <w:rPr/>
            </w:pPr>
            <w:r>
              <w:rPr/>
              <w:t>until the child/young adult reaches the age of 21.</w:t>
            </w:r>
          </w:p>
        </w:tc>
      </w:tr>
      <w:tr>
        <w:trPr/>
        <w:tc>
          <w:tcPr>
            <w:tcW w:w="3380" w:type="dxa"/>
            <w:tcBorders>
              <w:top w:val="nil"/>
              <w:right w:val="nil"/>
            </w:tcBorders>
          </w:tcPr>
          <w:p>
            <w:pPr>
              <w:pStyle w:val="TableContents"/>
              <w:suppressAutoHyphens w:val="true"/>
              <w:spacing w:before="57" w:after="57"/>
              <w:rPr/>
            </w:pPr>
            <w:r>
              <w:rPr/>
              <w:t>Junior Church contacts</w:t>
            </w:r>
          </w:p>
        </w:tc>
        <w:tc>
          <w:tcPr>
            <w:tcW w:w="5896" w:type="dxa"/>
            <w:tcBorders>
              <w:top w:val="nil"/>
            </w:tcBorders>
          </w:tcPr>
          <w:p>
            <w:pPr>
              <w:pStyle w:val="TableContents"/>
              <w:suppressAutoHyphens w:val="true"/>
              <w:spacing w:before="57" w:after="57"/>
              <w:rPr/>
            </w:pPr>
            <w:r>
              <w:rPr/>
              <w:t>24 months after the last contact</w:t>
            </w:r>
          </w:p>
        </w:tc>
      </w:tr>
      <w:tr>
        <w:trPr/>
        <w:tc>
          <w:tcPr>
            <w:tcW w:w="3380" w:type="dxa"/>
            <w:tcBorders>
              <w:top w:val="nil"/>
              <w:right w:val="nil"/>
            </w:tcBorders>
          </w:tcPr>
          <w:p>
            <w:pPr>
              <w:pStyle w:val="TableContents"/>
              <w:suppressAutoHyphens w:val="true"/>
              <w:spacing w:before="57" w:after="57"/>
              <w:rPr/>
            </w:pPr>
            <w:r>
              <w:rPr/>
              <w:t>Cradle roll</w:t>
            </w:r>
          </w:p>
        </w:tc>
        <w:tc>
          <w:tcPr>
            <w:tcW w:w="5896" w:type="dxa"/>
            <w:tcBorders>
              <w:top w:val="nil"/>
            </w:tcBorders>
          </w:tcPr>
          <w:p>
            <w:pPr>
              <w:pStyle w:val="TableContents"/>
              <w:suppressAutoHyphens w:val="true"/>
              <w:spacing w:before="57" w:after="57"/>
              <w:rPr/>
            </w:pPr>
            <w:r>
              <w:rPr/>
              <w:t>Indefinitely</w:t>
            </w:r>
          </w:p>
        </w:tc>
      </w:tr>
      <w:tr>
        <w:trPr/>
        <w:tc>
          <w:tcPr>
            <w:tcW w:w="3380" w:type="dxa"/>
            <w:tcBorders>
              <w:top w:val="nil"/>
              <w:right w:val="nil"/>
            </w:tcBorders>
          </w:tcPr>
          <w:p>
            <w:pPr>
              <w:pStyle w:val="TableContents"/>
              <w:suppressAutoHyphens w:val="true"/>
              <w:spacing w:before="57" w:after="57"/>
              <w:rPr/>
            </w:pPr>
            <w:r>
              <w:rPr/>
              <w:t>Gift aid declarations and paperwork</w:t>
            </w:r>
          </w:p>
        </w:tc>
        <w:tc>
          <w:tcPr>
            <w:tcW w:w="5896" w:type="dxa"/>
            <w:tcBorders>
              <w:top w:val="nil"/>
            </w:tcBorders>
          </w:tcPr>
          <w:p>
            <w:pPr>
              <w:pStyle w:val="TableContents"/>
              <w:suppressAutoHyphens w:val="true"/>
              <w:spacing w:before="57" w:after="57"/>
              <w:rPr/>
            </w:pPr>
            <w:r>
              <w:rPr/>
              <w:t>6 years after the calendar year to which it relates</w:t>
            </w:r>
          </w:p>
        </w:tc>
      </w:tr>
      <w:tr>
        <w:trPr/>
        <w:tc>
          <w:tcPr>
            <w:tcW w:w="3380" w:type="dxa"/>
            <w:tcBorders>
              <w:top w:val="nil"/>
              <w:right w:val="nil"/>
            </w:tcBorders>
          </w:tcPr>
          <w:p>
            <w:pPr>
              <w:pStyle w:val="TableContents"/>
              <w:suppressAutoHyphens w:val="true"/>
              <w:spacing w:before="57" w:after="57"/>
              <w:rPr/>
            </w:pPr>
            <w:r>
              <w:rPr/>
              <w:t>Registers of Marriage</w:t>
            </w:r>
          </w:p>
        </w:tc>
        <w:tc>
          <w:tcPr>
            <w:tcW w:w="5896" w:type="dxa"/>
            <w:tcBorders>
              <w:top w:val="nil"/>
            </w:tcBorders>
          </w:tcPr>
          <w:p>
            <w:pPr>
              <w:pStyle w:val="TableContents"/>
              <w:suppressAutoHyphens w:val="true"/>
              <w:spacing w:before="57" w:after="57"/>
              <w:rPr/>
            </w:pPr>
            <w:r>
              <w:rPr/>
              <w:t>As required by the Registrar General</w:t>
            </w:r>
          </w:p>
        </w:tc>
      </w:tr>
      <w:tr>
        <w:trPr/>
        <w:tc>
          <w:tcPr>
            <w:tcW w:w="3380" w:type="dxa"/>
            <w:tcBorders>
              <w:top w:val="nil"/>
              <w:right w:val="nil"/>
            </w:tcBorders>
          </w:tcPr>
          <w:p>
            <w:pPr>
              <w:pStyle w:val="TableContents"/>
              <w:suppressAutoHyphens w:val="true"/>
              <w:spacing w:before="57" w:after="57"/>
              <w:rPr/>
            </w:pPr>
            <w:r>
              <w:rPr/>
              <w:t>Register of Baptisms</w:t>
            </w:r>
          </w:p>
        </w:tc>
        <w:tc>
          <w:tcPr>
            <w:tcW w:w="5896" w:type="dxa"/>
            <w:tcBorders>
              <w:top w:val="nil"/>
            </w:tcBorders>
          </w:tcPr>
          <w:p>
            <w:pPr>
              <w:pStyle w:val="TableContents"/>
              <w:suppressAutoHyphens w:val="true"/>
              <w:spacing w:before="57" w:after="57"/>
              <w:rPr/>
            </w:pPr>
            <w:r>
              <w:rPr/>
              <w:t>Indefinitely</w:t>
            </w:r>
          </w:p>
        </w:tc>
      </w:tr>
      <w:tr>
        <w:trPr/>
        <w:tc>
          <w:tcPr>
            <w:tcW w:w="3380" w:type="dxa"/>
            <w:tcBorders>
              <w:top w:val="nil"/>
              <w:right w:val="nil"/>
            </w:tcBorders>
          </w:tcPr>
          <w:p>
            <w:pPr>
              <w:pStyle w:val="TableContents"/>
              <w:suppressAutoHyphens w:val="true"/>
              <w:spacing w:before="57" w:after="57"/>
              <w:rPr/>
            </w:pPr>
            <w:r>
              <w:rPr/>
              <w:t>Register of Funerals</w:t>
            </w:r>
          </w:p>
        </w:tc>
        <w:tc>
          <w:tcPr>
            <w:tcW w:w="5896" w:type="dxa"/>
            <w:tcBorders>
              <w:top w:val="nil"/>
            </w:tcBorders>
          </w:tcPr>
          <w:p>
            <w:pPr>
              <w:pStyle w:val="TableContents"/>
              <w:suppressAutoHyphens w:val="true"/>
              <w:spacing w:before="57" w:after="57"/>
              <w:rPr/>
            </w:pPr>
            <w:r>
              <w:rPr/>
              <w:t>Indefinitely</w:t>
            </w:r>
          </w:p>
        </w:tc>
      </w:tr>
      <w:tr>
        <w:trPr/>
        <w:tc>
          <w:tcPr>
            <w:tcW w:w="3380" w:type="dxa"/>
            <w:tcBorders>
              <w:top w:val="nil"/>
              <w:right w:val="nil"/>
            </w:tcBorders>
          </w:tcPr>
          <w:p>
            <w:pPr>
              <w:pStyle w:val="TableContents"/>
              <w:suppressAutoHyphens w:val="true"/>
              <w:spacing w:before="57" w:after="57"/>
              <w:rPr/>
            </w:pPr>
            <w:r>
              <w:rPr/>
              <w:t>Grave Records</w:t>
            </w:r>
          </w:p>
        </w:tc>
        <w:tc>
          <w:tcPr>
            <w:tcW w:w="5896" w:type="dxa"/>
            <w:tcBorders>
              <w:top w:val="nil"/>
            </w:tcBorders>
          </w:tcPr>
          <w:p>
            <w:pPr>
              <w:pStyle w:val="TableContents"/>
              <w:suppressAutoHyphens w:val="true"/>
              <w:spacing w:before="57" w:after="57"/>
              <w:rPr/>
            </w:pPr>
            <w:r>
              <w:rPr/>
              <w:t>Indefinitely</w:t>
            </w:r>
          </w:p>
        </w:tc>
      </w:tr>
      <w:tr>
        <w:trPr/>
        <w:tc>
          <w:tcPr>
            <w:tcW w:w="3380" w:type="dxa"/>
            <w:tcBorders>
              <w:top w:val="nil"/>
              <w:right w:val="nil"/>
            </w:tcBorders>
          </w:tcPr>
          <w:p>
            <w:pPr>
              <w:pStyle w:val="TableContents"/>
              <w:suppressAutoHyphens w:val="true"/>
              <w:spacing w:before="57" w:after="57"/>
              <w:rPr/>
            </w:pPr>
            <w:r>
              <w:rPr/>
              <w:t>Personal data relating to events for which additional information is gathered eg Church holidays</w:t>
            </w:r>
          </w:p>
        </w:tc>
        <w:tc>
          <w:tcPr>
            <w:tcW w:w="5896" w:type="dxa"/>
            <w:tcBorders>
              <w:top w:val="nil"/>
            </w:tcBorders>
          </w:tcPr>
          <w:p>
            <w:pPr>
              <w:pStyle w:val="TableContents"/>
              <w:suppressAutoHyphens w:val="true"/>
              <w:spacing w:before="57" w:after="57"/>
              <w:rPr/>
            </w:pPr>
            <w:r>
              <w:rPr/>
              <w:t>Disposed of immediately after the event unless anything has occurred (eg and accident) which indicates that records should be retained for a longer period.</w:t>
            </w:r>
          </w:p>
        </w:tc>
      </w:tr>
      <w:tr>
        <w:trPr/>
        <w:tc>
          <w:tcPr>
            <w:tcW w:w="3380" w:type="dxa"/>
            <w:tcBorders>
              <w:top w:val="nil"/>
              <w:right w:val="nil"/>
            </w:tcBorders>
          </w:tcPr>
          <w:p>
            <w:pPr>
              <w:pStyle w:val="TableContents"/>
              <w:suppressAutoHyphens w:val="true"/>
              <w:spacing w:before="57" w:after="57"/>
              <w:rPr/>
            </w:pPr>
            <w:r>
              <w:rPr/>
              <w:t>Records of attendance of children/young people and helpers</w:t>
            </w:r>
          </w:p>
        </w:tc>
        <w:tc>
          <w:tcPr>
            <w:tcW w:w="5896" w:type="dxa"/>
            <w:tcBorders>
              <w:top w:val="nil"/>
            </w:tcBorders>
          </w:tcPr>
          <w:p>
            <w:pPr>
              <w:pStyle w:val="TableContents"/>
              <w:suppressAutoHyphens w:val="true"/>
              <w:spacing w:before="57" w:after="57"/>
              <w:rPr/>
            </w:pPr>
            <w:r>
              <w:rPr/>
              <w:t>Indefinitely for safeguarding purposes</w:t>
            </w:r>
          </w:p>
        </w:tc>
      </w:tr>
      <w:tr>
        <w:trPr/>
        <w:tc>
          <w:tcPr>
            <w:tcW w:w="3380" w:type="dxa"/>
            <w:tcBorders>
              <w:top w:val="nil"/>
              <w:right w:val="nil"/>
            </w:tcBorders>
          </w:tcPr>
          <w:p>
            <w:pPr>
              <w:pStyle w:val="TableContents"/>
              <w:suppressAutoHyphens w:val="true"/>
              <w:spacing w:before="57" w:after="57"/>
              <w:rPr/>
            </w:pPr>
            <w:r>
              <w:rPr/>
              <w:t>Photographs and videos of events</w:t>
            </w:r>
          </w:p>
        </w:tc>
        <w:tc>
          <w:tcPr>
            <w:tcW w:w="5896" w:type="dxa"/>
            <w:tcBorders>
              <w:top w:val="nil"/>
            </w:tcBorders>
          </w:tcPr>
          <w:p>
            <w:pPr>
              <w:pStyle w:val="TableContents"/>
              <w:suppressAutoHyphens w:val="true"/>
              <w:spacing w:before="57" w:after="57"/>
              <w:rPr/>
            </w:pPr>
            <w:r>
              <w:rPr/>
              <w:t>24 months after the event – selected items retained for historical records</w:t>
            </w:r>
          </w:p>
        </w:tc>
      </w:tr>
      <w:tr>
        <w:trPr/>
        <w:tc>
          <w:tcPr>
            <w:tcW w:w="3380" w:type="dxa"/>
            <w:tcBorders>
              <w:top w:val="nil"/>
              <w:right w:val="nil"/>
            </w:tcBorders>
          </w:tcPr>
          <w:p>
            <w:pPr>
              <w:pStyle w:val="TableContents"/>
              <w:suppressAutoHyphens w:val="true"/>
              <w:spacing w:before="57" w:after="57"/>
              <w:rPr/>
            </w:pPr>
            <w:r>
              <w:rPr/>
              <w:t>Insurance Records</w:t>
            </w:r>
          </w:p>
        </w:tc>
        <w:tc>
          <w:tcPr>
            <w:tcW w:w="5896" w:type="dxa"/>
            <w:tcBorders>
              <w:top w:val="nil"/>
            </w:tcBorders>
          </w:tcPr>
          <w:p>
            <w:pPr>
              <w:pStyle w:val="TableContents"/>
              <w:suppressAutoHyphens w:val="true"/>
              <w:spacing w:before="57" w:after="57"/>
              <w:rPr/>
            </w:pPr>
            <w:r>
              <w:rPr/>
              <w:t>Indefinitely</w:t>
            </w:r>
          </w:p>
        </w:tc>
      </w:tr>
      <w:tr>
        <w:trPr/>
        <w:tc>
          <w:tcPr>
            <w:tcW w:w="3380" w:type="dxa"/>
            <w:tcBorders>
              <w:top w:val="nil"/>
              <w:right w:val="nil"/>
            </w:tcBorders>
          </w:tcPr>
          <w:p>
            <w:pPr>
              <w:pStyle w:val="TableContents"/>
              <w:suppressAutoHyphens w:val="true"/>
              <w:spacing w:before="57" w:after="57"/>
              <w:rPr/>
            </w:pPr>
            <w:r>
              <w:rPr/>
              <w:t>Safeguarding matters</w:t>
            </w:r>
          </w:p>
        </w:tc>
        <w:tc>
          <w:tcPr>
            <w:tcW w:w="5896" w:type="dxa"/>
            <w:tcBorders>
              <w:top w:val="nil"/>
            </w:tcBorders>
          </w:tcPr>
          <w:p>
            <w:pPr>
              <w:pStyle w:val="TableContents"/>
              <w:suppressAutoHyphens w:val="true"/>
              <w:spacing w:before="57" w:after="57"/>
              <w:rPr/>
            </w:pPr>
            <w:r>
              <w:rPr/>
              <w:t>Indefinitely or until advised otherwise by authorities</w:t>
            </w:r>
          </w:p>
        </w:tc>
      </w:tr>
      <w:tr>
        <w:trPr/>
        <w:tc>
          <w:tcPr>
            <w:tcW w:w="3380" w:type="dxa"/>
            <w:tcBorders>
              <w:top w:val="nil"/>
              <w:right w:val="nil"/>
            </w:tcBorders>
          </w:tcPr>
          <w:p>
            <w:pPr>
              <w:pStyle w:val="TableContents"/>
              <w:suppressAutoHyphens w:val="true"/>
              <w:spacing w:before="57" w:after="57"/>
              <w:rPr/>
            </w:pPr>
            <w:r>
              <w:rPr/>
              <w:t>Accident Books</w:t>
            </w:r>
          </w:p>
        </w:tc>
        <w:tc>
          <w:tcPr>
            <w:tcW w:w="5896" w:type="dxa"/>
            <w:tcBorders>
              <w:top w:val="nil"/>
            </w:tcBorders>
          </w:tcPr>
          <w:p>
            <w:pPr>
              <w:pStyle w:val="TableContents"/>
              <w:suppressAutoHyphens w:val="true"/>
              <w:spacing w:before="57" w:after="57"/>
              <w:rPr/>
            </w:pPr>
            <w:r>
              <w:rPr/>
              <w:t>3 years from the date of the last entry (or, if the accident involves a child/ young adult, then until that person reaches the age of 21)</w:t>
            </w:r>
          </w:p>
        </w:tc>
      </w:tr>
      <w:tr>
        <w:trPr/>
        <w:tc>
          <w:tcPr>
            <w:tcW w:w="3380" w:type="dxa"/>
            <w:tcBorders>
              <w:top w:val="nil"/>
              <w:right w:val="nil"/>
            </w:tcBorders>
          </w:tcPr>
          <w:p>
            <w:pPr>
              <w:pStyle w:val="TableContents"/>
              <w:suppressAutoHyphens w:val="true"/>
              <w:spacing w:before="57" w:after="57"/>
              <w:rPr/>
            </w:pPr>
            <w:r>
              <w:rPr/>
              <w:t>Complaints (non -safeguarding)</w:t>
            </w:r>
          </w:p>
        </w:tc>
        <w:tc>
          <w:tcPr>
            <w:tcW w:w="5896" w:type="dxa"/>
            <w:tcBorders>
              <w:top w:val="nil"/>
            </w:tcBorders>
          </w:tcPr>
          <w:p>
            <w:pPr>
              <w:pStyle w:val="TableContents"/>
              <w:suppressAutoHyphens w:val="true"/>
              <w:spacing w:before="57" w:after="57"/>
              <w:rPr/>
            </w:pPr>
            <w:r>
              <w:rPr/>
              <w:t>3 years after resolution of complaint (unless further action is anticipated)</w:t>
            </w:r>
          </w:p>
        </w:tc>
      </w:tr>
      <w:tr>
        <w:trPr/>
        <w:tc>
          <w:tcPr>
            <w:tcW w:w="3380" w:type="dxa"/>
            <w:tcBorders>
              <w:top w:val="nil"/>
              <w:right w:val="nil"/>
            </w:tcBorders>
          </w:tcPr>
          <w:p>
            <w:pPr>
              <w:pStyle w:val="TableContents"/>
              <w:suppressAutoHyphens w:val="true"/>
              <w:spacing w:before="57" w:after="57"/>
              <w:rPr/>
            </w:pPr>
            <w:r>
              <w:rPr/>
              <w:t>Minute Books</w:t>
            </w:r>
          </w:p>
        </w:tc>
        <w:tc>
          <w:tcPr>
            <w:tcW w:w="5896" w:type="dxa"/>
            <w:tcBorders>
              <w:top w:val="nil"/>
            </w:tcBorders>
          </w:tcPr>
          <w:p>
            <w:pPr>
              <w:pStyle w:val="TableContents"/>
              <w:suppressAutoHyphens w:val="true"/>
              <w:spacing w:before="57" w:after="57"/>
              <w:rPr/>
            </w:pPr>
            <w:r>
              <w:rPr/>
              <w:t>Indefinitely</w:t>
            </w:r>
          </w:p>
        </w:tc>
      </w:tr>
      <w:tr>
        <w:trPr/>
        <w:tc>
          <w:tcPr>
            <w:tcW w:w="3380" w:type="dxa"/>
            <w:tcBorders>
              <w:top w:val="nil"/>
              <w:right w:val="nil"/>
            </w:tcBorders>
          </w:tcPr>
          <w:p>
            <w:pPr>
              <w:pStyle w:val="TableContents"/>
              <w:suppressAutoHyphens w:val="true"/>
              <w:spacing w:before="57" w:after="57"/>
              <w:rPr/>
            </w:pPr>
            <w:r>
              <w:rPr/>
              <w:t>Employee Records</w:t>
            </w:r>
          </w:p>
        </w:tc>
        <w:tc>
          <w:tcPr>
            <w:tcW w:w="5896" w:type="dxa"/>
            <w:tcBorders>
              <w:top w:val="nil"/>
            </w:tcBorders>
          </w:tcPr>
          <w:p>
            <w:pPr>
              <w:pStyle w:val="TableContents"/>
              <w:suppressAutoHyphens w:val="true"/>
              <w:spacing w:before="57" w:after="57"/>
              <w:rPr/>
            </w:pPr>
            <w:r>
              <w:rPr/>
              <w:t>6 years after the date of termination of employment</w:t>
            </w:r>
          </w:p>
        </w:tc>
      </w:tr>
      <w:tr>
        <w:trPr/>
        <w:tc>
          <w:tcPr>
            <w:tcW w:w="3380" w:type="dxa"/>
            <w:tcBorders>
              <w:top w:val="nil"/>
              <w:right w:val="nil"/>
            </w:tcBorders>
          </w:tcPr>
          <w:p>
            <w:pPr>
              <w:pStyle w:val="TableContents"/>
              <w:suppressAutoHyphens w:val="true"/>
              <w:spacing w:before="57" w:after="57"/>
              <w:rPr/>
            </w:pPr>
            <w:r>
              <w:rPr/>
              <w:t>Pension Records (money purchase)</w:t>
            </w:r>
          </w:p>
        </w:tc>
        <w:tc>
          <w:tcPr>
            <w:tcW w:w="5896" w:type="dxa"/>
            <w:tcBorders>
              <w:top w:val="nil"/>
            </w:tcBorders>
          </w:tcPr>
          <w:p>
            <w:pPr>
              <w:pStyle w:val="TableContents"/>
              <w:suppressAutoHyphens w:val="true"/>
              <w:spacing w:before="57" w:after="57"/>
              <w:rPr/>
            </w:pPr>
            <w:r>
              <w:rPr/>
              <w:t>6 years after transfer or value taken</w:t>
            </w:r>
          </w:p>
        </w:tc>
      </w:tr>
      <w:tr>
        <w:trPr/>
        <w:tc>
          <w:tcPr>
            <w:tcW w:w="3380" w:type="dxa"/>
            <w:tcBorders>
              <w:top w:val="nil"/>
              <w:right w:val="nil"/>
            </w:tcBorders>
          </w:tcPr>
          <w:p>
            <w:pPr>
              <w:pStyle w:val="TableContents"/>
              <w:suppressAutoHyphens w:val="true"/>
              <w:spacing w:before="57" w:after="57"/>
              <w:rPr/>
            </w:pPr>
            <w:r>
              <w:rPr/>
              <w:t>Visitors Books</w:t>
            </w:r>
          </w:p>
        </w:tc>
        <w:tc>
          <w:tcPr>
            <w:tcW w:w="5896" w:type="dxa"/>
            <w:tcBorders>
              <w:top w:val="nil"/>
            </w:tcBorders>
          </w:tcPr>
          <w:p>
            <w:pPr>
              <w:pStyle w:val="TableContents"/>
              <w:suppressAutoHyphens w:val="true"/>
              <w:spacing w:before="57" w:after="57"/>
              <w:rPr/>
            </w:pPr>
            <w:r>
              <w:rPr/>
            </w:r>
          </w:p>
        </w:tc>
      </w:tr>
      <w:tr>
        <w:trPr/>
        <w:tc>
          <w:tcPr>
            <w:tcW w:w="3380" w:type="dxa"/>
            <w:tcBorders>
              <w:top w:val="nil"/>
              <w:right w:val="nil"/>
            </w:tcBorders>
          </w:tcPr>
          <w:p>
            <w:pPr>
              <w:pStyle w:val="TableContents"/>
              <w:suppressAutoHyphens w:val="true"/>
              <w:spacing w:before="57" w:after="57"/>
              <w:rPr/>
            </w:pPr>
            <w:r>
              <w:rPr/>
              <w:t>Other Record</w:t>
            </w:r>
          </w:p>
        </w:tc>
        <w:tc>
          <w:tcPr>
            <w:tcW w:w="5896" w:type="dxa"/>
            <w:tcBorders>
              <w:top w:val="nil"/>
            </w:tcBorders>
          </w:tcPr>
          <w:p>
            <w:pPr>
              <w:pStyle w:val="TableContents"/>
              <w:suppressAutoHyphens w:val="true"/>
              <w:spacing w:before="57" w:after="57"/>
              <w:rPr/>
            </w:pPr>
            <w:r>
              <w:rPr/>
            </w:r>
          </w:p>
        </w:tc>
      </w:tr>
    </w:tbl>
    <w:p>
      <w:pPr>
        <w:pStyle w:val="Heading5"/>
        <w:numPr>
          <w:ilvl w:val="0"/>
          <w:numId w:val="0"/>
        </w:numPr>
        <w:ind w:hanging="0" w:left="0"/>
        <w:rPr/>
      </w:pPr>
      <w:r>
        <w:rPr/>
        <w:t xml:space="preserve">7. Your rights and your personal data  </w:t>
      </w:r>
    </w:p>
    <w:p>
      <w:pPr>
        <w:pStyle w:val="BodyText"/>
        <w:rPr/>
      </w:pPr>
      <w:r>
        <w:rPr/>
        <w:t>Unless subject to an exemption under the GDPR, you have the following rights with respect to your personal data: -</w:t>
      </w:r>
    </w:p>
    <w:p>
      <w:pPr>
        <w:pStyle w:val="ListContents"/>
        <w:numPr>
          <w:ilvl w:val="0"/>
          <w:numId w:val="2"/>
        </w:numPr>
        <w:rPr/>
      </w:pPr>
      <w:r>
        <w:rPr/>
        <w:t xml:space="preserve">The right to request a copy of the personal data which XYZ United Reformed Church holds about you (a Subject Access Request or ‘SAR’); </w:t>
      </w:r>
    </w:p>
    <w:p>
      <w:pPr>
        <w:pStyle w:val="ListContents"/>
        <w:numPr>
          <w:ilvl w:val="0"/>
          <w:numId w:val="2"/>
        </w:numPr>
        <w:rPr/>
      </w:pPr>
      <w:r>
        <w:rPr/>
        <w:t xml:space="preserve">The right to request that the eldership of XYZ United Reformed Church corrects any personal data if it is found to be inaccurate or out of date;  </w:t>
      </w:r>
    </w:p>
    <w:p>
      <w:pPr>
        <w:pStyle w:val="ListContents"/>
        <w:numPr>
          <w:ilvl w:val="0"/>
          <w:numId w:val="2"/>
        </w:numPr>
        <w:rPr/>
      </w:pPr>
      <w:r>
        <w:rPr/>
        <w:t>The right to request your personal data is erased where it is no longer necessary for XYZ United Reformed Church to retain such data;</w:t>
      </w:r>
    </w:p>
    <w:p>
      <w:pPr>
        <w:pStyle w:val="ListContents"/>
        <w:numPr>
          <w:ilvl w:val="0"/>
          <w:numId w:val="2"/>
        </w:numPr>
        <w:rPr/>
      </w:pPr>
      <w:r>
        <w:rPr/>
        <w:t>The right to withdraw your consent to the processing at any time;</w:t>
      </w:r>
    </w:p>
    <w:p>
      <w:pPr>
        <w:pStyle w:val="ListContents"/>
        <w:numPr>
          <w:ilvl w:val="0"/>
          <w:numId w:val="2"/>
        </w:numPr>
        <w:rPr/>
      </w:pPr>
      <w:r>
        <w:rPr/>
        <w:t>The right to request that the data controller provide you with your personal data and where possible, to transmit that data directly to another data controller.</w:t>
      </w:r>
    </w:p>
    <w:p>
      <w:pPr>
        <w:pStyle w:val="ListContents"/>
        <w:numPr>
          <w:ilvl w:val="0"/>
          <w:numId w:val="2"/>
        </w:numPr>
        <w:rPr/>
      </w:pPr>
      <w:r>
        <w:rPr/>
        <w:t>The right, where there is a dispute in relation to the accuracy or processing of your personal data, to request a restriction is placed on further processing;</w:t>
      </w:r>
    </w:p>
    <w:p>
      <w:pPr>
        <w:pStyle w:val="ListContents"/>
        <w:numPr>
          <w:ilvl w:val="0"/>
          <w:numId w:val="2"/>
        </w:numPr>
        <w:rPr/>
      </w:pPr>
      <w:r>
        <w:rPr/>
        <w:t>The right to object to the processing of personal data;</w:t>
      </w:r>
    </w:p>
    <w:p>
      <w:pPr>
        <w:pStyle w:val="ListContents"/>
        <w:numPr>
          <w:ilvl w:val="0"/>
          <w:numId w:val="2"/>
        </w:numPr>
        <w:rPr/>
      </w:pPr>
      <w:r>
        <w:rPr/>
        <w:t>The right to lodge a complaint with the Information Commissioners Office.</w:t>
      </w:r>
    </w:p>
    <w:p>
      <w:pPr>
        <w:pStyle w:val="Heading5"/>
        <w:numPr>
          <w:ilvl w:val="0"/>
          <w:numId w:val="0"/>
        </w:numPr>
        <w:ind w:hanging="0" w:left="0"/>
        <w:rPr/>
      </w:pPr>
      <w:r>
        <w:rPr/>
        <w:t>8. Further processing</w:t>
      </w:r>
    </w:p>
    <w:p>
      <w:pPr>
        <w:pStyle w:val="BodyText"/>
        <w:rPr/>
      </w:pPr>
      <w:r>
        <w:rPr/>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pPr>
        <w:pStyle w:val="Heading5"/>
        <w:numPr>
          <w:ilvl w:val="0"/>
          <w:numId w:val="0"/>
        </w:numPr>
        <w:ind w:hanging="0" w:left="0"/>
        <w:rPr/>
      </w:pPr>
      <w:r>
        <w:rPr/>
        <w:t>9. Contact Details</w:t>
      </w:r>
    </w:p>
    <w:p>
      <w:pPr>
        <w:pStyle w:val="BodyText"/>
        <w:rPr/>
      </w:pPr>
      <w:r>
        <w:rPr/>
        <w:t xml:space="preserve">To exercise all relevant rights, queries of complaints please in the first instance contact the Church Secretary at [insert contact details]. </w:t>
      </w:r>
    </w:p>
    <w:p>
      <w:pPr>
        <w:pStyle w:val="BodyText"/>
        <w:rPr/>
      </w:pPr>
      <w:r>
        <w:rPr/>
        <w:t xml:space="preserve">You can contact the Information Commissioners Office </w:t>
        <w:br/>
        <w:t xml:space="preserve">by telephone on 0303 123 1113, via their website  </w:t>
      </w:r>
      <w:hyperlink r:id="rId3">
        <w:r>
          <w:rPr>
            <w:rStyle w:val="Hyperlink"/>
          </w:rPr>
          <w:t>https://ico.org.uk/global/contact-us/</w:t>
        </w:r>
      </w:hyperlink>
      <w:r>
        <w:rPr/>
        <w:t xml:space="preserve"> </w:t>
        <w:br/>
        <w:t>or in writing at “</w:t>
      </w:r>
      <w:r>
        <w:rPr>
          <w:lang w:val="en-US"/>
        </w:rPr>
        <w:t>Information Commissioner's Office, Wycliffe House, Water Lane, Wilmslow, Cheshire. SK9 5AF”.</w:t>
      </w:r>
    </w:p>
    <w:p>
      <w:pPr>
        <w:pStyle w:val="BodyText"/>
        <w:rPr/>
      </w:pPr>
      <w:r>
        <w:rPr/>
        <w:t>The Elders</w:t>
      </w:r>
    </w:p>
    <w:p>
      <w:pPr>
        <w:pStyle w:val="BodyText"/>
        <w:rPr/>
      </w:pPr>
      <w:r>
        <w:rPr/>
        <w:t>XYZ United Reformed Church</w:t>
      </w:r>
    </w:p>
    <w:p>
      <w:pPr>
        <w:pStyle w:val="BodyText"/>
        <w:spacing w:before="0" w:after="113"/>
        <w:rPr/>
      </w:pPr>
      <w:r>
        <w:rPr/>
        <w:t>Date</w:t>
      </w:r>
    </w:p>
    <w:sectPr>
      <w:headerReference w:type="even" r:id="rId4"/>
      <w:headerReference w:type="default" r:id="rId5"/>
      <w:headerReference w:type="first" r:id="rId6"/>
      <w:footerReference w:type="even" r:id="rId7"/>
      <w:footerReference w:type="default" r:id="rId8"/>
      <w:footerReference w:type="first" r:id="rId9"/>
      <w:footnotePr>
        <w:numFmt w:val="chicago"/>
      </w:footnotePr>
      <w:type w:val="nextPage"/>
      <w:pgSz w:w="11906" w:h="16838"/>
      <w:pgMar w:left="1468" w:right="1161" w:gutter="0" w:header="737" w:top="1438" w:footer="736" w:bottom="1263"/>
      <w:pgBorders w:display="allPages" w:offsetFrom="text">
        <w:top w:val="single" w:sz="2" w:space="1" w:color="000000"/>
      </w:pgBorders>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auto"/>
    <w:pitch w:val="default"/>
  </w:font>
  <w:font w:name="Arial">
    <w:charset w:val="01"/>
    <w:family w:val="auto"/>
    <w:pitch w:val="default"/>
  </w:font>
  <w:font w:name="Times New Roman">
    <w:charset w:val="01"/>
    <w:family w:val="auto"/>
    <w:pitch w:val="default"/>
  </w:font>
  <w:font w:name="Segoe UI">
    <w:charset w:val="01"/>
    <w:family w:val="auto"/>
    <w:pitch w:val="default"/>
  </w:font>
  <w:font w:name="ABeeZee">
    <w:charset w:val="01"/>
    <w:family w:val="auto"/>
    <w:pitch w:val="default"/>
  </w:font>
  <w:font w:name="Century Gothic">
    <w:charset w:val="01"/>
    <w:family w:val="auto"/>
    <w:pitch w:val="default"/>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t xml:space="preserve">Page </w:t>
    </w:r>
    <w:r>
      <w:rPr/>
      <w:fldChar w:fldCharType="begin"/>
    </w:r>
    <w:r>
      <w:rPr/>
      <w:instrText xml:space="preserve"> PAGE </w:instrText>
    </w:r>
    <w:r>
      <w:rPr/>
      <w:fldChar w:fldCharType="separate"/>
    </w:r>
    <w:r>
      <w:rPr/>
      <w:t>2</w:t>
    </w:r>
    <w:r>
      <w:rPr/>
      <w:fldChar w:fldCharType="end"/>
    </w:r>
    <w:r>
      <w:rPr/>
      <w:t xml:space="preserve"> of </w:t>
    </w:r>
    <w:r>
      <w:rPr/>
      <w:fldChar w:fldCharType="begin"/>
    </w:r>
    <w:r>
      <w:rPr/>
      <w:instrText xml:space="preserve"> NUMPAGES </w:instrText>
    </w:r>
    <w:r>
      <w:rPr/>
      <w:fldChar w:fldCharType="separate"/>
    </w:r>
    <w:r>
      <w:rPr/>
      <w:t>3</w:t>
    </w:r>
    <w:r>
      <w:rPr/>
      <w:fldChar w:fldCharType="end"/>
    </w:r>
  </w:p>
  <w:p>
    <w:pPr>
      <w:pStyle w:val="Footer"/>
      <w:tabs>
        <w:tab w:val="clear" w:pos="9026"/>
        <w:tab w:val="center" w:pos="4513" w:leader="none"/>
        <w:tab w:val="right" w:pos="9300" w:leader="none"/>
      </w:tabs>
      <w:bidi w:val="0"/>
      <w:rPr/>
    </w:pPr>
    <w:r>
      <w:rPr/>
      <w:t xml:space="preserve">Data Privacy Statement v1- 1 Feb 2018 </w:t>
      <w:tab/>
      <w:tab/>
      <w:t>correction to ico website address Nov 2024 D.J.L. EMS</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t xml:space="preserve">Page </w:t>
    </w:r>
    <w:r>
      <w:rPr/>
      <w:fldChar w:fldCharType="begin"/>
    </w:r>
    <w:r>
      <w:rPr/>
      <w:instrText xml:space="preserve"> PAGE </w:instrText>
    </w:r>
    <w:r>
      <w:rPr/>
      <w:fldChar w:fldCharType="separate"/>
    </w:r>
    <w:r>
      <w:rPr/>
      <w:t>2</w:t>
    </w:r>
    <w:r>
      <w:rPr/>
      <w:fldChar w:fldCharType="end"/>
    </w:r>
    <w:r>
      <w:rPr/>
      <w:t xml:space="preserve"> of </w:t>
    </w:r>
    <w:r>
      <w:rPr/>
      <w:fldChar w:fldCharType="begin"/>
    </w:r>
    <w:r>
      <w:rPr/>
      <w:instrText xml:space="preserve"> NUMPAGES </w:instrText>
    </w:r>
    <w:r>
      <w:rPr/>
      <w:fldChar w:fldCharType="separate"/>
    </w:r>
    <w:r>
      <w:rPr/>
      <w:t>3</w:t>
    </w:r>
    <w:r>
      <w:rPr/>
      <w:fldChar w:fldCharType="end"/>
    </w:r>
  </w:p>
  <w:p>
    <w:pPr>
      <w:pStyle w:val="Footer"/>
      <w:tabs>
        <w:tab w:val="clear" w:pos="9026"/>
        <w:tab w:val="center" w:pos="4513" w:leader="none"/>
        <w:tab w:val="right" w:pos="9300" w:leader="none"/>
      </w:tabs>
      <w:bidi w:val="0"/>
      <w:rPr/>
    </w:pPr>
    <w:r>
      <w:rPr/>
      <w:t xml:space="preserve">Data Privacy Statement v1- 1 Feb 2018 </w:t>
      <w:tab/>
      <w:tab/>
      <w:t>correction to ico website address Nov 2024 D.J.L. EMS</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rFonts w:ascii="Calibri" w:hAnsi="Calibri" w:asciiTheme="minorHAnsi" w:hAnsiTheme="minorHAnsi"/>
        </w:rPr>
      </w:pPr>
      <w:r>
        <w:rPr>
          <w:rStyle w:val="FootnoteCharacters"/>
        </w:rPr>
        <w:footnoteRef/>
      </w:r>
      <w:r>
        <w:rPr>
          <w:b/>
          <w:bCs/>
          <w:color w:val="C9211E"/>
        </w:rPr>
        <w:t xml:space="preserve"> </w:t>
      </w:r>
      <w:r>
        <w:rPr>
          <w:rFonts w:ascii="Calibri" w:hAnsi="Calibri" w:asciiTheme="minorHAnsi" w:hAnsiTheme="minorHAnsi"/>
          <w:b/>
          <w:bCs/>
          <w:color w:val="C9211E"/>
        </w:rPr>
        <w:t>Retention periods shown are for illustration only.  The Church must determine its own retention periods to meet its own need and statutory compliance</w:t>
      </w:r>
      <w:r>
        <w:rPr>
          <w:rFonts w:ascii="Calibri" w:hAnsi="Calibri" w:asciiTheme="minorHAnsi" w:hAnsiTheme="minorHAnsi"/>
        </w:rPr>
        <w:t>.</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left" w:pos="1395" w:leader="none"/>
      </w:tabs>
      <w:jc w:val="center"/>
      <w:rPr>
        <w:color w:val="C9211E"/>
      </w:rPr>
    </w:pPr>
    <w:r>
      <w:rPr>
        <w:rFonts w:cs="Calibri" w:ascii="Century Gothic" w:hAnsi="Century Gothic" w:cstheme="minorHAnsi"/>
        <w:b/>
        <w:color w:val="C9211E"/>
      </w:rPr>
      <w:t xml:space="preserve">TEMPLATE – for illustration purposes only. </w:t>
      <w:br/>
      <w:t xml:space="preserve">This must be adapted to meet the specific needs of each Church.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left" w:pos="1395" w:leader="none"/>
      </w:tabs>
      <w:jc w:val="center"/>
      <w:rPr>
        <w:color w:val="C9211E"/>
      </w:rPr>
    </w:pPr>
    <w:r>
      <w:rPr>
        <w:rFonts w:cs="Calibri" w:ascii="Century Gothic" w:hAnsi="Century Gothic" w:cstheme="minorHAnsi"/>
        <w:b/>
        <w:color w:val="C9211E"/>
      </w:rPr>
      <w:t xml:space="preserve">TEMPLATE – for illustration purposes only. </w:t>
      <w:br/>
      <w:t xml:space="preserve">This must be adapted to meet the specific needs of each Church.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40"/>
  <w:defaultTabStop w:val="720"/>
  <w:autoHyphenation w:val="true"/>
  <w:footnotePr>
    <w:numFmt w:val="chicago"/>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7b2b9c"/>
    <w:pPr>
      <w:widowControl/>
      <w:suppressAutoHyphens w:val="true"/>
      <w:bidi w:val="0"/>
      <w:spacing w:lineRule="auto" w:line="240" w:before="0" w:after="0"/>
      <w:jc w:val="left"/>
    </w:pPr>
    <w:rPr>
      <w:rFonts w:ascii="Arial" w:hAnsi="Arial" w:eastAsia="Times New Roman" w:cs="Times New Roman"/>
      <w:color w:val="auto"/>
      <w:kern w:val="0"/>
      <w:sz w:val="24"/>
      <w:szCs w:val="24"/>
      <w:lang w:val="en-GB" w:eastAsia="en-US" w:bidi="ar-SA"/>
    </w:rPr>
  </w:style>
  <w:style w:type="paragraph" w:styleId="Heading2">
    <w:name w:val="Heading 2"/>
    <w:basedOn w:val="Heading"/>
    <w:next w:val="BodyText"/>
    <w:qFormat/>
    <w:pPr>
      <w:numPr>
        <w:ilvl w:val="1"/>
        <w:numId w:val="1"/>
      </w:numPr>
      <w:spacing w:before="200" w:after="120"/>
      <w:outlineLvl w:val="1"/>
    </w:pPr>
    <w:rPr>
      <w:b/>
      <w:bCs/>
      <w:sz w:val="32"/>
      <w:szCs w:val="32"/>
    </w:rPr>
  </w:style>
  <w:style w:type="paragraph" w:styleId="Heading5">
    <w:name w:val="Heading 5"/>
    <w:basedOn w:val="Heading"/>
    <w:next w:val="BodyText"/>
    <w:qFormat/>
    <w:pPr>
      <w:numPr>
        <w:ilvl w:val="4"/>
        <w:numId w:val="1"/>
      </w:numPr>
      <w:spacing w:before="120" w:after="60"/>
      <w:outlineLvl w:val="4"/>
    </w:pPr>
    <w:rPr>
      <w:b/>
      <w:bCs/>
      <w:sz w:val="24"/>
      <w:szCs w:val="24"/>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qFormat/>
    <w:rsid w:val="007b2b9c"/>
    <w:rPr>
      <w:rFonts w:ascii="Times New Roman" w:hAnsi="Times New Roman" w:eastAsia="Times New Roman" w:cs="Times New Roman"/>
      <w:sz w:val="24"/>
      <w:szCs w:val="20"/>
      <w:lang w:val="en-AU"/>
    </w:rPr>
  </w:style>
  <w:style w:type="character" w:styleId="Hyperlink">
    <w:name w:val="Hyperlink"/>
    <w:rsid w:val="007b2b9c"/>
    <w:rPr>
      <w:color w:val="0563C1"/>
      <w:u w:val="single"/>
    </w:rPr>
  </w:style>
  <w:style w:type="character" w:styleId="FootnoteTextChar" w:customStyle="1">
    <w:name w:val="Footnote Text Char"/>
    <w:basedOn w:val="DefaultParagraphFont"/>
    <w:link w:val="FootnoteText"/>
    <w:uiPriority w:val="99"/>
    <w:semiHidden/>
    <w:qFormat/>
    <w:rsid w:val="007b2b9c"/>
    <w:rPr>
      <w:rFonts w:ascii="Times New Roman" w:hAnsi="Times New Roman" w:eastAsia="Times New Roman" w:cs="Times New Roman"/>
      <w:sz w:val="20"/>
      <w:szCs w:val="20"/>
    </w:rPr>
  </w:style>
  <w:style w:type="character" w:styleId="FootnoteCharacters">
    <w:name w:val="Footnote Characters"/>
    <w:uiPriority w:val="99"/>
    <w:semiHidden/>
    <w:unhideWhenUsed/>
    <w:qFormat/>
    <w:rsid w:val="007b2b9c"/>
    <w:rPr>
      <w:vertAlign w:val="superscript"/>
    </w:rPr>
  </w:style>
  <w:style w:type="character" w:styleId="FootnoteReference">
    <w:name w:val="Footnote Reference"/>
    <w:rPr>
      <w:vertAlign w:val="superscript"/>
    </w:rPr>
  </w:style>
  <w:style w:type="character" w:styleId="annotationreference">
    <w:name w:val="annotation reference"/>
    <w:basedOn w:val="DefaultParagraphFont"/>
    <w:uiPriority w:val="99"/>
    <w:semiHidden/>
    <w:unhideWhenUsed/>
    <w:qFormat/>
    <w:rsid w:val="004d10f0"/>
    <w:rPr>
      <w:sz w:val="16"/>
      <w:szCs w:val="16"/>
    </w:rPr>
  </w:style>
  <w:style w:type="character" w:styleId="CommentTextChar" w:customStyle="1">
    <w:name w:val="Comment Text Char"/>
    <w:basedOn w:val="DefaultParagraphFont"/>
    <w:link w:val="AnnotationText"/>
    <w:uiPriority w:val="99"/>
    <w:semiHidden/>
    <w:qFormat/>
    <w:rsid w:val="004d10f0"/>
    <w:rPr>
      <w:rFonts w:ascii="Times New Roman" w:hAnsi="Times New Roman" w:eastAsia="Times New Roman" w:cs="Times New Roman"/>
      <w:sz w:val="20"/>
      <w:szCs w:val="20"/>
    </w:rPr>
  </w:style>
  <w:style w:type="character" w:styleId="CommentSubjectChar" w:customStyle="1">
    <w:name w:val="Comment Subject Char"/>
    <w:basedOn w:val="CommentTextChar"/>
    <w:link w:val="annotationsubject"/>
    <w:uiPriority w:val="99"/>
    <w:semiHidden/>
    <w:qFormat/>
    <w:rsid w:val="004d10f0"/>
    <w:rPr>
      <w:rFonts w:ascii="Times New Roman" w:hAnsi="Times New Roman" w:eastAsia="Times New Roman" w:cs="Times New Roman"/>
      <w:b/>
      <w:bCs/>
      <w:sz w:val="20"/>
      <w:szCs w:val="20"/>
    </w:rPr>
  </w:style>
  <w:style w:type="character" w:styleId="BalloonTextChar" w:customStyle="1">
    <w:name w:val="Balloon Text Char"/>
    <w:basedOn w:val="DefaultParagraphFont"/>
    <w:link w:val="BalloonText"/>
    <w:uiPriority w:val="99"/>
    <w:semiHidden/>
    <w:qFormat/>
    <w:rsid w:val="004d10f0"/>
    <w:rPr>
      <w:rFonts w:ascii="Segoe UI" w:hAnsi="Segoe UI" w:eastAsia="Times New Roman" w:cs="Segoe UI"/>
      <w:sz w:val="18"/>
      <w:szCs w:val="18"/>
    </w:rPr>
  </w:style>
  <w:style w:type="character" w:styleId="FollowedHyperlink">
    <w:name w:val="FollowedHyperlink"/>
    <w:basedOn w:val="DefaultParagraphFont"/>
    <w:uiPriority w:val="99"/>
    <w:semiHidden/>
    <w:unhideWhenUsed/>
    <w:rsid w:val="001144b7"/>
    <w:rPr>
      <w:color w:themeColor="followedHyperlink" w:val="954F72"/>
      <w:u w:val="single"/>
    </w:rPr>
  </w:style>
  <w:style w:type="character" w:styleId="HeaderChar" w:customStyle="1">
    <w:name w:val="Header Char"/>
    <w:basedOn w:val="DefaultParagraphFont"/>
    <w:link w:val="Header"/>
    <w:uiPriority w:val="99"/>
    <w:qFormat/>
    <w:rsid w:val="00882b23"/>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882b23"/>
    <w:rPr>
      <w:rFonts w:ascii="Times New Roman" w:hAnsi="Times New Roman" w:eastAsia="Times New Roman" w:cs="Times New Roman"/>
      <w:sz w:val="24"/>
      <w:szCs w:val="24"/>
    </w:rPr>
  </w:style>
  <w:style w:type="character" w:styleId="EndnoteCharacters">
    <w:name w:val="Endnote Characters"/>
    <w:qFormat/>
    <w:rPr>
      <w:vertAlign w:val="superscript"/>
    </w:rPr>
  </w:style>
  <w:style w:type="character" w:styleId="EndnoteReference">
    <w:name w:val="Endnote Reference"/>
    <w:rPr>
      <w:vertAlign w:val="superscript"/>
    </w:rPr>
  </w:style>
  <w:style w:type="paragraph" w:styleId="Heading">
    <w:name w:val="Heading"/>
    <w:basedOn w:val="Normal"/>
    <w:next w:val="BodyText"/>
    <w:qFormat/>
    <w:pPr>
      <w:keepNext w:val="true"/>
      <w:spacing w:before="240" w:after="120"/>
    </w:pPr>
    <w:rPr>
      <w:rFonts w:ascii="Arial" w:hAnsi="Arial" w:eastAsia="DejaVu Sans" w:cs="Lohit Devanagari"/>
      <w:sz w:val="28"/>
      <w:szCs w:val="28"/>
    </w:rPr>
  </w:style>
  <w:style w:type="paragraph" w:styleId="BodyText">
    <w:name w:val="Body Text"/>
    <w:basedOn w:val="Normal"/>
    <w:link w:val="BodyTextChar"/>
    <w:rsid w:val="007b2b9c"/>
    <w:pPr>
      <w:spacing w:before="0" w:after="113"/>
      <w:jc w:val="left"/>
    </w:pPr>
    <w:rPr>
      <w:szCs w:val="20"/>
      <w:lang w:val="en-AU"/>
    </w:rPr>
  </w:style>
  <w:style w:type="paragraph" w:styleId="List">
    <w:name w:val="List"/>
    <w:basedOn w:val="BodyText"/>
    <w:pPr/>
    <w:rPr>
      <w:rFonts w:ascii="ABeeZee" w:hAnsi="ABeeZee" w:eastAsia="Times New Roman" w:cs="Lohit Devanagari"/>
    </w:rPr>
  </w:style>
  <w:style w:type="paragraph" w:styleId="Caption">
    <w:name w:val="Caption"/>
    <w:basedOn w:val="Normal"/>
    <w:qFormat/>
    <w:pPr>
      <w:suppressLineNumbers/>
      <w:spacing w:before="120" w:after="120"/>
    </w:pPr>
    <w:rPr>
      <w:rFonts w:ascii="ABeeZee" w:hAnsi="ABeeZee" w:eastAsia="Times New Roman" w:cs="Lohit Devanagari"/>
      <w:i/>
      <w:iCs/>
      <w:sz w:val="24"/>
      <w:szCs w:val="24"/>
    </w:rPr>
  </w:style>
  <w:style w:type="paragraph" w:styleId="Index">
    <w:name w:val="Index"/>
    <w:basedOn w:val="Normal"/>
    <w:qFormat/>
    <w:pPr>
      <w:suppressLineNumbers/>
    </w:pPr>
    <w:rPr>
      <w:rFonts w:ascii="ABeeZee" w:hAnsi="ABeeZee" w:eastAsia="Times New Roman" w:cs="Lohit Devanagari"/>
    </w:rPr>
  </w:style>
  <w:style w:type="paragraph" w:styleId="FootnoteText">
    <w:name w:val="Footnote Text"/>
    <w:basedOn w:val="Normal"/>
    <w:link w:val="FootnoteTextChar"/>
    <w:uiPriority w:val="99"/>
    <w:semiHidden/>
    <w:unhideWhenUsed/>
    <w:rsid w:val="007b2b9c"/>
    <w:pPr/>
    <w:rPr>
      <w:sz w:val="20"/>
      <w:szCs w:val="20"/>
    </w:rPr>
  </w:style>
  <w:style w:type="paragraph" w:styleId="NormalWeb">
    <w:name w:val="Normal (Web)"/>
    <w:basedOn w:val="Normal"/>
    <w:uiPriority w:val="99"/>
    <w:semiHidden/>
    <w:unhideWhenUsed/>
    <w:qFormat/>
    <w:rsid w:val="007b2b9c"/>
    <w:pPr>
      <w:spacing w:before="0" w:after="225"/>
    </w:pPr>
    <w:rPr>
      <w:lang w:eastAsia="en-GB"/>
    </w:rPr>
  </w:style>
  <w:style w:type="paragraph" w:styleId="AnnotationText">
    <w:name w:val="Annotation Text"/>
    <w:basedOn w:val="Normal"/>
    <w:link w:val="CommentTextChar"/>
    <w:uiPriority w:val="99"/>
    <w:semiHidden/>
    <w:unhideWhenUsed/>
    <w:rsid w:val="004d10f0"/>
    <w:pPr/>
    <w:rPr>
      <w:sz w:val="20"/>
      <w:szCs w:val="20"/>
    </w:rPr>
  </w:style>
  <w:style w:type="paragraph" w:styleId="annotationsubject">
    <w:name w:val="annotation subject"/>
    <w:basedOn w:val="AnnotationText"/>
    <w:next w:val="AnnotationText"/>
    <w:link w:val="CommentSubjectChar"/>
    <w:uiPriority w:val="99"/>
    <w:semiHidden/>
    <w:unhideWhenUsed/>
    <w:qFormat/>
    <w:rsid w:val="004d10f0"/>
    <w:pPr/>
    <w:rPr>
      <w:b/>
      <w:bCs/>
    </w:rPr>
  </w:style>
  <w:style w:type="paragraph" w:styleId="BalloonText">
    <w:name w:val="Balloon Text"/>
    <w:basedOn w:val="Normal"/>
    <w:link w:val="BalloonTextChar"/>
    <w:uiPriority w:val="99"/>
    <w:semiHidden/>
    <w:unhideWhenUsed/>
    <w:qFormat/>
    <w:rsid w:val="004d10f0"/>
    <w:pPr/>
    <w:rPr>
      <w:rFonts w:ascii="Segoe UI" w:hAnsi="Segoe UI" w:cs="Segoe UI"/>
      <w:sz w:val="18"/>
      <w:szCs w:val="18"/>
    </w:rPr>
  </w:style>
  <w:style w:type="paragraph" w:styleId="HeaderandFooter">
    <w:name w:val="Header and Footer"/>
    <w:basedOn w:val="Normal"/>
    <w:qFormat/>
    <w:pPr/>
    <w:rPr/>
  </w:style>
  <w:style w:type="paragraph" w:styleId="Header">
    <w:name w:val="Header"/>
    <w:basedOn w:val="Normal"/>
    <w:link w:val="HeaderChar"/>
    <w:uiPriority w:val="99"/>
    <w:unhideWhenUsed/>
    <w:rsid w:val="00882b23"/>
    <w:pPr>
      <w:tabs>
        <w:tab w:val="clear" w:pos="720"/>
        <w:tab w:val="center" w:pos="4513" w:leader="none"/>
        <w:tab w:val="right" w:pos="9026" w:leader="none"/>
      </w:tabs>
    </w:pPr>
    <w:rPr/>
  </w:style>
  <w:style w:type="paragraph" w:styleId="Footer">
    <w:name w:val="Footer"/>
    <w:basedOn w:val="Normal"/>
    <w:link w:val="FooterChar"/>
    <w:uiPriority w:val="99"/>
    <w:unhideWhenUsed/>
    <w:rsid w:val="00882b23"/>
    <w:pPr>
      <w:tabs>
        <w:tab w:val="clear" w:pos="720"/>
        <w:tab w:val="center" w:pos="4513" w:leader="none"/>
        <w:tab w:val="right" w:pos="9026" w:leader="none"/>
      </w:tabs>
    </w:pPr>
    <w:rPr>
      <w:sz w:val="18"/>
    </w:rPr>
  </w:style>
  <w:style w:type="paragraph" w:styleId="TableContents">
    <w:name w:val="Table Contents"/>
    <w:basedOn w:val="Normal"/>
    <w:qFormat/>
    <w:pPr>
      <w:widowControl w:val="false"/>
      <w:suppressLineNumbers/>
      <w:spacing w:before="57" w:after="57"/>
    </w:pPr>
    <w:rPr/>
  </w:style>
  <w:style w:type="paragraph" w:styleId="ListContents">
    <w:name w:val="List Contents"/>
    <w:basedOn w:val="Normal"/>
    <w:qFormat/>
    <w:pPr>
      <w:spacing w:before="0" w:after="57"/>
      <w:ind w:left="567"/>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882b2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ico.org.uk/global/contact-us/"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notes" Target="footnotes.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29B61-A32A-49E0-AF94-1D863B16F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Application>LibreOffice/24.2.7.2$Linux_X86_64 LibreOffice_project/420$Build-2</Application>
  <AppVersion>15.0000</AppVersion>
  <Pages>3</Pages>
  <Words>1093</Words>
  <Characters>5694</Characters>
  <CharactersWithSpaces>6704</CharactersWithSpaces>
  <Paragraphs>96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2018-02-01T14:39:00Z</dcterms:created>
  <dc:creator>John</dc:creator>
  <dc:description/>
  <dc:language>en-GB</dc:language>
  <cp:lastModifiedBy/>
  <dcterms:modified xsi:type="dcterms:W3CDTF">2024-12-02T16:38:13Z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